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28F3" w14:textId="77777777" w:rsidR="00BF4234" w:rsidRDefault="00BF4234" w:rsidP="00EA417B">
      <w:pPr>
        <w:pStyle w:val="ManualSectionXxTitle"/>
        <w:jc w:val="right"/>
        <w:rPr>
          <w:rFonts w:ascii="Calibri" w:hAnsi="Calibri" w:cs="Calibri"/>
        </w:rPr>
      </w:pPr>
    </w:p>
    <w:p w14:paraId="6735CB47" w14:textId="77777777" w:rsidR="00BB7BFD" w:rsidRDefault="00BB7BFD" w:rsidP="00560903">
      <w:pPr>
        <w:pStyle w:val="ManualSectionXxTitle"/>
        <w:rPr>
          <w:rFonts w:ascii="Arial" w:hAnsi="Arial" w:cs="Arial"/>
          <w:i w:val="0"/>
          <w:iCs/>
          <w:sz w:val="24"/>
          <w:szCs w:val="22"/>
        </w:rPr>
      </w:pPr>
    </w:p>
    <w:p w14:paraId="29366C66" w14:textId="77777777" w:rsidR="00BB7BFD" w:rsidRDefault="00BB7BFD" w:rsidP="00560903">
      <w:pPr>
        <w:pStyle w:val="ManualSectionXxTitle"/>
        <w:rPr>
          <w:rFonts w:ascii="Arial" w:hAnsi="Arial" w:cs="Arial"/>
          <w:i w:val="0"/>
          <w:iCs/>
          <w:sz w:val="24"/>
          <w:szCs w:val="22"/>
        </w:rPr>
      </w:pPr>
    </w:p>
    <w:p w14:paraId="0E786DBF" w14:textId="15C45D27" w:rsidR="00EA417B" w:rsidRPr="00684593" w:rsidRDefault="00560903" w:rsidP="00560903">
      <w:pPr>
        <w:pStyle w:val="ManualSectionXxTitle"/>
        <w:rPr>
          <w:rFonts w:ascii="Arial" w:hAnsi="Arial" w:cs="Arial"/>
          <w:sz w:val="24"/>
          <w:szCs w:val="22"/>
        </w:rPr>
      </w:pPr>
      <w:r w:rsidRPr="00684593">
        <w:rPr>
          <w:rFonts w:ascii="Arial" w:hAnsi="Arial" w:cs="Arial"/>
          <w:i w:val="0"/>
          <w:iCs/>
          <w:sz w:val="24"/>
          <w:szCs w:val="22"/>
        </w:rPr>
        <w:t>Instructions for Use</w:t>
      </w:r>
      <w:r w:rsidR="00BA174E" w:rsidRPr="00684593">
        <w:rPr>
          <w:rFonts w:ascii="Arial" w:hAnsi="Arial" w:cs="Arial"/>
          <w:i w:val="0"/>
          <w:iCs/>
          <w:sz w:val="24"/>
          <w:szCs w:val="22"/>
        </w:rPr>
        <w:t xml:space="preserve"> Revision Notice</w:t>
      </w:r>
    </w:p>
    <w:p w14:paraId="7AE98048" w14:textId="77777777" w:rsidR="00BF4234" w:rsidRPr="00684593" w:rsidRDefault="00BF4234" w:rsidP="00EA417B">
      <w:pPr>
        <w:pStyle w:val="ManualSectionXxTitle"/>
        <w:jc w:val="right"/>
        <w:rPr>
          <w:rFonts w:ascii="Arial" w:hAnsi="Arial" w:cs="Arial"/>
        </w:rPr>
      </w:pPr>
    </w:p>
    <w:p w14:paraId="20822247" w14:textId="5D2ADDE1" w:rsidR="00560903" w:rsidRPr="00684593" w:rsidRDefault="00BA174E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Date</w:t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Effective</w:t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:</w:t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fldChar w:fldCharType="begin"/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instrText xml:space="preserve"> DATE \@ "yyyy-MM-dd" </w:instrText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fldChar w:fldCharType="separate"/>
      </w:r>
      <w:r w:rsidR="000D3077">
        <w:rPr>
          <w:rFonts w:ascii="Arial" w:hAnsi="Arial" w:cs="Arial"/>
          <w:b w:val="0"/>
          <w:bCs/>
          <w:i w:val="0"/>
          <w:iCs/>
          <w:noProof/>
          <w:sz w:val="20"/>
          <w:szCs w:val="18"/>
        </w:rPr>
        <w:t>2026-04-17</w:t>
      </w:r>
      <w:r w:rsidR="00D310E7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fldChar w:fldCharType="end"/>
      </w:r>
    </w:p>
    <w:p w14:paraId="483080E4" w14:textId="4413E184" w:rsidR="00BE1A34" w:rsidRPr="00684593" w:rsidRDefault="00BE1A34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Document:</w:t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ab/>
      </w:r>
      <w:r w:rsidR="00D55F2B">
        <w:rPr>
          <w:rFonts w:ascii="Arial" w:hAnsi="Arial" w:cs="Arial"/>
          <w:b w:val="0"/>
          <w:bCs/>
          <w:i w:val="0"/>
          <w:iCs/>
          <w:sz w:val="20"/>
          <w:szCs w:val="18"/>
        </w:rPr>
        <w:t>Aerospray</w:t>
      </w:r>
      <w:r w:rsidR="009F593A">
        <w:rPr>
          <w:rFonts w:ascii="Arial" w:hAnsi="Arial" w:cs="Arial"/>
          <w:b w:val="0"/>
          <w:bCs/>
          <w:i w:val="0"/>
          <w:iCs/>
          <w:sz w:val="20"/>
          <w:szCs w:val="18"/>
        </w:rPr>
        <w:t>®</w:t>
      </w:r>
      <w:r w:rsidR="00D55F2B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</w:t>
      </w:r>
      <w:r w:rsidR="00D05CAB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Hematology </w:t>
      </w:r>
      <w:r w:rsidR="002E3540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Pro Slide Stainer/Cytocentrifuge </w:t>
      </w:r>
      <w:r w:rsidR="005338AA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Instructions for Use</w:t>
      </w:r>
    </w:p>
    <w:p w14:paraId="1FD93D6A" w14:textId="77777777" w:rsidR="00D310E7" w:rsidRPr="00684593" w:rsidRDefault="00D310E7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</w:p>
    <w:p w14:paraId="1DB36887" w14:textId="446E906B" w:rsidR="00D310E7" w:rsidRPr="00684593" w:rsidRDefault="006D1F61" w:rsidP="00BA174E">
      <w:pPr>
        <w:pStyle w:val="ManualSectionXxTitle"/>
        <w:rPr>
          <w:rFonts w:ascii="Arial" w:hAnsi="Arial" w:cs="Arial"/>
          <w:b w:val="0"/>
          <w:bCs/>
          <w:i w:val="0"/>
          <w:iCs/>
          <w:sz w:val="20"/>
          <w:szCs w:val="18"/>
        </w:rPr>
      </w:pPr>
      <w:r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The </w:t>
      </w:r>
      <w:r w:rsidR="002E3540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Aerospray </w:t>
      </w:r>
      <w:r w:rsidR="00D05CAB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Hematology </w:t>
      </w:r>
      <w:r w:rsidR="002E3540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Pro </w:t>
      </w:r>
      <w:r w:rsidR="00E408B0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Instructions for Use (IFU) has been revised as detailed below.</w:t>
      </w:r>
      <w:r w:rsidR="00CA6AD1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 </w:t>
      </w:r>
      <w:r w:rsidR="00B93153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 xml:space="preserve">Please contact </w:t>
      </w:r>
      <w:r w:rsidR="00095EC5" w:rsidRPr="00684593">
        <w:rPr>
          <w:rFonts w:ascii="Arial" w:hAnsi="Arial" w:cs="Arial"/>
          <w:b w:val="0"/>
          <w:bCs/>
          <w:i w:val="0"/>
          <w:iCs/>
          <w:sz w:val="20"/>
          <w:szCs w:val="18"/>
        </w:rPr>
        <w:t>our Service Team via the contact information provided to receive an updated copy of this document.</w:t>
      </w:r>
    </w:p>
    <w:p w14:paraId="12E63532" w14:textId="77777777" w:rsidR="00EA417B" w:rsidRPr="00684593" w:rsidRDefault="00EA417B" w:rsidP="00EA417B">
      <w:pPr>
        <w:pStyle w:val="ManualSectionXxTitle"/>
        <w:jc w:val="right"/>
        <w:rPr>
          <w:rFonts w:ascii="Arial" w:hAnsi="Arial" w:cs="Arial"/>
          <w:sz w:val="24"/>
          <w:szCs w:val="22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1980"/>
        <w:gridCol w:w="1800"/>
        <w:gridCol w:w="6030"/>
      </w:tblGrid>
      <w:tr w:rsidR="00941C7A" w:rsidRPr="00684593" w14:paraId="5D814B45" w14:textId="77777777" w:rsidTr="00DF50B2">
        <w:trPr>
          <w:trHeight w:val="52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71F0705" w14:textId="7941FCD8" w:rsidR="00941C7A" w:rsidRPr="00684593" w:rsidRDefault="00941C7A" w:rsidP="00941C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A51EE" w:rsidRPr="00684593">
              <w:rPr>
                <w:rFonts w:ascii="Arial" w:hAnsi="Arial" w:cs="Arial"/>
                <w:b/>
                <w:sz w:val="20"/>
                <w:szCs w:val="20"/>
              </w:rPr>
              <w:t>EF</w:t>
            </w:r>
            <w:r w:rsidR="59F0BBC5"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A51EE" w:rsidRPr="00684593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2BEFC22" w14:textId="21661F1B" w:rsidR="00941C7A" w:rsidRPr="00684593" w:rsidRDefault="00941C7A" w:rsidP="000A1E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RELEASE DATE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7EBE16E5" w14:textId="16EDFAE6" w:rsidR="00941C7A" w:rsidRPr="00684593" w:rsidRDefault="00941C7A" w:rsidP="000A1E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CHANGE SUMMARY</w:t>
            </w:r>
          </w:p>
        </w:tc>
      </w:tr>
      <w:tr w:rsidR="00941C7A" w:rsidRPr="00684593" w14:paraId="28697DDD" w14:textId="77777777" w:rsidTr="00DF50B2">
        <w:trPr>
          <w:trHeight w:val="1961"/>
        </w:trPr>
        <w:tc>
          <w:tcPr>
            <w:tcW w:w="1980" w:type="dxa"/>
            <w:vAlign w:val="center"/>
          </w:tcPr>
          <w:p w14:paraId="44318E7A" w14:textId="2B61796B" w:rsidR="00941C7A" w:rsidRPr="00684593" w:rsidRDefault="000A1E16" w:rsidP="00941C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BMS-</w:t>
            </w:r>
            <w:r w:rsidR="00C731CC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="00EA51EE"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C731CC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  <w:r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C1B98"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C731C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D7E5A" w:rsidRPr="0068459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18096015" w14:textId="3EA2D10D" w:rsidR="00941C7A" w:rsidRPr="00684593" w:rsidRDefault="000D7E5A" w:rsidP="000A1E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459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84593">
              <w:rPr>
                <w:rFonts w:ascii="Arial" w:hAnsi="Arial" w:cs="Arial"/>
                <w:bCs/>
                <w:sz w:val="20"/>
                <w:szCs w:val="20"/>
              </w:rPr>
              <w:instrText xml:space="preserve"> DATE \@ "yyyy-MM-dd" </w:instrText>
            </w:r>
            <w:r w:rsidRPr="0068459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D3077">
              <w:rPr>
                <w:rFonts w:ascii="Arial" w:hAnsi="Arial" w:cs="Arial"/>
                <w:bCs/>
                <w:noProof/>
                <w:sz w:val="20"/>
                <w:szCs w:val="20"/>
              </w:rPr>
              <w:t>2026-04-17</w:t>
            </w:r>
            <w:r w:rsidRPr="0068459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30" w:type="dxa"/>
            <w:vAlign w:val="center"/>
          </w:tcPr>
          <w:p w14:paraId="7CF6D5B4" w14:textId="77777777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Added Bruker branding to cover and back page</w:t>
            </w:r>
          </w:p>
          <w:p w14:paraId="24714F5B" w14:textId="0E02350E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Rebranded site name from “ELITechGroup” to “Bruker</w:t>
            </w:r>
          </w:p>
          <w:p w14:paraId="29FE1E5E" w14:textId="77777777" w:rsidR="00C731CC" w:rsidRPr="00C731CC" w:rsidRDefault="00C731CC" w:rsidP="00C731C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Biomedical Systems”</w:t>
            </w:r>
          </w:p>
          <w:p w14:paraId="14DFBA7E" w14:textId="4FD7A5C4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Changed document name from “Applications Manual” to</w:t>
            </w:r>
          </w:p>
          <w:p w14:paraId="66022C0B" w14:textId="77777777" w:rsidR="00C731CC" w:rsidRPr="00C731CC" w:rsidRDefault="00C731CC" w:rsidP="00C731C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“Instructions for Use”</w:t>
            </w:r>
          </w:p>
          <w:p w14:paraId="7C608BA4" w14:textId="3E3916F4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Updated Preventive Maintenance section</w:t>
            </w:r>
          </w:p>
          <w:p w14:paraId="1EDA1721" w14:textId="3A553A13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Added Annual Maintenance section</w:t>
            </w:r>
          </w:p>
          <w:p w14:paraId="2FB60CE7" w14:textId="41537239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Added information about water spotting</w:t>
            </w:r>
          </w:p>
          <w:p w14:paraId="7619D16E" w14:textId="13A41491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Corrected order of Staining Protocol (Section 4)</w:t>
            </w:r>
          </w:p>
          <w:p w14:paraId="57846F28" w14:textId="0FB97A3D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Updated Troubleshooting section</w:t>
            </w:r>
          </w:p>
          <w:p w14:paraId="0EA937A9" w14:textId="7C133682" w:rsidR="00C731CC" w:rsidRPr="00C731CC" w:rsidRDefault="00C731CC" w:rsidP="00C731C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Added clarifying notes</w:t>
            </w:r>
          </w:p>
          <w:p w14:paraId="2694756C" w14:textId="290046A9" w:rsidR="00F9109E" w:rsidRPr="00684593" w:rsidRDefault="00C731CC" w:rsidP="00C731C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1CC">
              <w:rPr>
                <w:rFonts w:ascii="Arial" w:hAnsi="Arial" w:cs="Arial"/>
                <w:bCs/>
                <w:sz w:val="20"/>
                <w:szCs w:val="20"/>
              </w:rPr>
              <w:t>Corrected minor errors</w:t>
            </w:r>
          </w:p>
        </w:tc>
      </w:tr>
    </w:tbl>
    <w:p w14:paraId="71F51B7A" w14:textId="77777777" w:rsidR="007645F1" w:rsidRPr="00684593" w:rsidRDefault="007645F1" w:rsidP="00036B3B">
      <w:pPr>
        <w:rPr>
          <w:rFonts w:ascii="Arial" w:hAnsi="Arial" w:cs="Arial"/>
          <w:sz w:val="22"/>
          <w:szCs w:val="22"/>
        </w:rPr>
      </w:pPr>
    </w:p>
    <w:p w14:paraId="358B85C6" w14:textId="6074CF18" w:rsidR="004B2226" w:rsidRPr="00684593" w:rsidRDefault="00E91DB3" w:rsidP="000B71E5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684593">
        <w:rPr>
          <w:rFonts w:ascii="Arial" w:hAnsi="Arial" w:cs="Arial"/>
          <w:b/>
          <w:bCs/>
          <w:sz w:val="22"/>
          <w:szCs w:val="22"/>
        </w:rPr>
        <w:t>Contact Information</w:t>
      </w:r>
    </w:p>
    <w:p w14:paraId="1C529AE9" w14:textId="1DFA50DF" w:rsidR="00C60952" w:rsidRPr="00684593" w:rsidRDefault="00C60952" w:rsidP="00036B3B">
      <w:pPr>
        <w:rPr>
          <w:rFonts w:ascii="Arial" w:hAnsi="Arial" w:cs="Arial"/>
          <w:sz w:val="20"/>
          <w:szCs w:val="20"/>
        </w:rPr>
      </w:pPr>
      <w:r w:rsidRPr="00684593">
        <w:rPr>
          <w:rFonts w:ascii="Arial" w:hAnsi="Arial" w:cs="Arial"/>
          <w:sz w:val="20"/>
          <w:szCs w:val="20"/>
        </w:rPr>
        <w:t>Bruker Biomedical Systems</w:t>
      </w:r>
      <w:r w:rsidR="007F24B6">
        <w:rPr>
          <w:rFonts w:ascii="Arial" w:hAnsi="Arial" w:cs="Arial"/>
          <w:sz w:val="20"/>
          <w:szCs w:val="20"/>
        </w:rPr>
        <w:t>’</w:t>
      </w:r>
      <w:r w:rsidRPr="00684593">
        <w:rPr>
          <w:rFonts w:ascii="Arial" w:hAnsi="Arial" w:cs="Arial"/>
          <w:sz w:val="20"/>
          <w:szCs w:val="20"/>
        </w:rPr>
        <w:t xml:space="preserve"> Service Team</w:t>
      </w:r>
    </w:p>
    <w:p w14:paraId="1DCF0A1D" w14:textId="25979CFE" w:rsidR="00C60952" w:rsidRPr="00684593" w:rsidRDefault="009F593A" w:rsidP="00036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+1 </w:t>
      </w:r>
      <w:r w:rsidR="00C60952" w:rsidRPr="00684593">
        <w:rPr>
          <w:rFonts w:ascii="Arial" w:hAnsi="Arial" w:cs="Arial"/>
          <w:sz w:val="20"/>
          <w:szCs w:val="20"/>
        </w:rPr>
        <w:t>435 752 6011</w:t>
      </w:r>
    </w:p>
    <w:p w14:paraId="4D686FE7" w14:textId="5AE19817" w:rsidR="00E91DB3" w:rsidRPr="00684593" w:rsidRDefault="001D5BE9" w:rsidP="00036B3B">
      <w:pPr>
        <w:rPr>
          <w:rFonts w:ascii="Arial" w:hAnsi="Arial" w:cs="Arial"/>
          <w:sz w:val="20"/>
          <w:szCs w:val="20"/>
        </w:rPr>
      </w:pPr>
      <w:r w:rsidRPr="007F24B6">
        <w:rPr>
          <w:rFonts w:ascii="Arial" w:hAnsi="Arial" w:cs="Arial"/>
          <w:sz w:val="20"/>
          <w:szCs w:val="20"/>
        </w:rPr>
        <w:t>service.bms@bruker.com</w:t>
      </w:r>
    </w:p>
    <w:sectPr w:rsidR="00E91DB3" w:rsidRPr="00684593">
      <w:headerReference w:type="default" r:id="rId10"/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7E3F" w14:textId="77777777" w:rsidR="005A1860" w:rsidRDefault="005A1860" w:rsidP="003836C4">
      <w:r>
        <w:separator/>
      </w:r>
    </w:p>
  </w:endnote>
  <w:endnote w:type="continuationSeparator" w:id="0">
    <w:p w14:paraId="01662E4F" w14:textId="77777777" w:rsidR="005A1860" w:rsidRDefault="005A1860" w:rsidP="0038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D71" w14:textId="628CF4F8" w:rsidR="003836C4" w:rsidRDefault="003836C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9EA755" wp14:editId="1FEBA9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245" cy="345440"/>
              <wp:effectExtent l="0" t="0" r="8255" b="0"/>
              <wp:wrapNone/>
              <wp:docPr id="369827897" name="Text Box 2" descr="-ELITechGroup Confidential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3B9A5" w14:textId="33C5D6DE" w:rsidR="003836C4" w:rsidRPr="003836C4" w:rsidRDefault="003836C4" w:rsidP="003836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3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-ELITechGroup Confidential-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EA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ELITechGroup Confidential-" style="position:absolute;margin-left:0;margin-top:0;width:114.35pt;height:27.2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" filled="f" stroked="f">
              <v:textbox style="mso-fit-shape-to-text:t" inset="0,0,0,15pt">
                <w:txbxContent>
                  <w:p w14:paraId="7413B9A5" w14:textId="33C5D6DE" w:rsidR="003836C4" w:rsidRPr="003836C4" w:rsidRDefault="003836C4" w:rsidP="003836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3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-ELITechGroup Confidential-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8FD2" w14:textId="21891A6C" w:rsidR="003836C4" w:rsidRDefault="003836C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3C77648" wp14:editId="3EB98E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245" cy="345440"/>
              <wp:effectExtent l="0" t="0" r="8255" b="0"/>
              <wp:wrapNone/>
              <wp:docPr id="1099938617" name="Text Box 1" descr="-ELITechGroup Confidential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E6DFE" w14:textId="245E9699" w:rsidR="003836C4" w:rsidRPr="003836C4" w:rsidRDefault="003836C4" w:rsidP="003836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36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-ELITechGroup Confidential-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77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ELITechGroup Confidential-" style="position:absolute;margin-left:0;margin-top:0;width:114.35pt;height:27.2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" filled="f" stroked="f">
              <v:textbox style="mso-fit-shape-to-text:t" inset="0,0,0,15pt">
                <w:txbxContent>
                  <w:p w14:paraId="62CE6DFE" w14:textId="245E9699" w:rsidR="003836C4" w:rsidRPr="003836C4" w:rsidRDefault="003836C4" w:rsidP="003836C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36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-ELITechGroup Confidential-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F11E" w14:textId="77777777" w:rsidR="005A1860" w:rsidRDefault="005A1860" w:rsidP="003836C4">
      <w:r>
        <w:separator/>
      </w:r>
    </w:p>
  </w:footnote>
  <w:footnote w:type="continuationSeparator" w:id="0">
    <w:p w14:paraId="313080D8" w14:textId="77777777" w:rsidR="005A1860" w:rsidRDefault="005A1860" w:rsidP="0038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047A" w14:textId="42C58C8F" w:rsidR="0087036B" w:rsidRDefault="00BB7BF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FAE1494" wp14:editId="60FFEBB8">
          <wp:simplePos x="0" y="0"/>
          <wp:positionH relativeFrom="column">
            <wp:posOffset>4735901</wp:posOffset>
          </wp:positionH>
          <wp:positionV relativeFrom="paragraph">
            <wp:posOffset>-310467</wp:posOffset>
          </wp:positionV>
          <wp:extent cx="1873885" cy="1083310"/>
          <wp:effectExtent l="0" t="0" r="0" b="0"/>
          <wp:wrapSquare wrapText="bothSides"/>
          <wp:docPr id="1991910219" name="Picture 1" descr="A blue symbol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10219" name="Picture 1" descr="A blue symbol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57FB8" w14:textId="77777777" w:rsidR="0087036B" w:rsidRDefault="00870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94F"/>
    <w:multiLevelType w:val="hybridMultilevel"/>
    <w:tmpl w:val="3166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A4A"/>
    <w:multiLevelType w:val="hybridMultilevel"/>
    <w:tmpl w:val="73A8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59957">
    <w:abstractNumId w:val="1"/>
  </w:num>
  <w:num w:numId="2" w16cid:durableId="110180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7B"/>
    <w:rsid w:val="00036B3B"/>
    <w:rsid w:val="00043D87"/>
    <w:rsid w:val="00095EC5"/>
    <w:rsid w:val="000A1E16"/>
    <w:rsid w:val="000A381A"/>
    <w:rsid w:val="000B71E5"/>
    <w:rsid w:val="000B7F8C"/>
    <w:rsid w:val="000C4251"/>
    <w:rsid w:val="000D3077"/>
    <w:rsid w:val="000D7E5A"/>
    <w:rsid w:val="000E2978"/>
    <w:rsid w:val="00177938"/>
    <w:rsid w:val="00196775"/>
    <w:rsid w:val="00196EF5"/>
    <w:rsid w:val="001B23E7"/>
    <w:rsid w:val="001B5CD9"/>
    <w:rsid w:val="001D5BE9"/>
    <w:rsid w:val="001E2112"/>
    <w:rsid w:val="001F0C9B"/>
    <w:rsid w:val="002367D1"/>
    <w:rsid w:val="002555F7"/>
    <w:rsid w:val="00260DF3"/>
    <w:rsid w:val="00292C95"/>
    <w:rsid w:val="002C14BF"/>
    <w:rsid w:val="002D4E9B"/>
    <w:rsid w:val="002E3540"/>
    <w:rsid w:val="00367C4E"/>
    <w:rsid w:val="003836C4"/>
    <w:rsid w:val="003A4F43"/>
    <w:rsid w:val="003F0D59"/>
    <w:rsid w:val="004B2226"/>
    <w:rsid w:val="00516A45"/>
    <w:rsid w:val="005246A4"/>
    <w:rsid w:val="005338AA"/>
    <w:rsid w:val="00535718"/>
    <w:rsid w:val="00551F30"/>
    <w:rsid w:val="00560903"/>
    <w:rsid w:val="00566102"/>
    <w:rsid w:val="00566589"/>
    <w:rsid w:val="005728F8"/>
    <w:rsid w:val="005962FF"/>
    <w:rsid w:val="005A1860"/>
    <w:rsid w:val="005B06C5"/>
    <w:rsid w:val="005B3ABF"/>
    <w:rsid w:val="005C2CD2"/>
    <w:rsid w:val="005D2F0F"/>
    <w:rsid w:val="00646413"/>
    <w:rsid w:val="00680B9F"/>
    <w:rsid w:val="00684593"/>
    <w:rsid w:val="006D1F61"/>
    <w:rsid w:val="006E33DE"/>
    <w:rsid w:val="007645F1"/>
    <w:rsid w:val="00797386"/>
    <w:rsid w:val="007C6292"/>
    <w:rsid w:val="007C6B5F"/>
    <w:rsid w:val="007E16E4"/>
    <w:rsid w:val="007F24B6"/>
    <w:rsid w:val="0087036B"/>
    <w:rsid w:val="0087489B"/>
    <w:rsid w:val="008841F0"/>
    <w:rsid w:val="008B241E"/>
    <w:rsid w:val="008C1B98"/>
    <w:rsid w:val="008C64C6"/>
    <w:rsid w:val="00913BF8"/>
    <w:rsid w:val="00941C7A"/>
    <w:rsid w:val="00984025"/>
    <w:rsid w:val="009F593A"/>
    <w:rsid w:val="00A1A003"/>
    <w:rsid w:val="00AA09C3"/>
    <w:rsid w:val="00AB4C3F"/>
    <w:rsid w:val="00AC1E53"/>
    <w:rsid w:val="00AF0F61"/>
    <w:rsid w:val="00B532E6"/>
    <w:rsid w:val="00B83E7E"/>
    <w:rsid w:val="00B93153"/>
    <w:rsid w:val="00BA174E"/>
    <w:rsid w:val="00BB31F2"/>
    <w:rsid w:val="00BB7BFD"/>
    <w:rsid w:val="00BD49E9"/>
    <w:rsid w:val="00BE1A34"/>
    <w:rsid w:val="00BE4C90"/>
    <w:rsid w:val="00BE6724"/>
    <w:rsid w:val="00BF4234"/>
    <w:rsid w:val="00C60952"/>
    <w:rsid w:val="00C731CC"/>
    <w:rsid w:val="00C744AA"/>
    <w:rsid w:val="00C8274E"/>
    <w:rsid w:val="00C87028"/>
    <w:rsid w:val="00CA6AD1"/>
    <w:rsid w:val="00CB5774"/>
    <w:rsid w:val="00CB5A95"/>
    <w:rsid w:val="00CC272D"/>
    <w:rsid w:val="00CD2A45"/>
    <w:rsid w:val="00D01C3F"/>
    <w:rsid w:val="00D05CAB"/>
    <w:rsid w:val="00D30D94"/>
    <w:rsid w:val="00D310E7"/>
    <w:rsid w:val="00D55F2B"/>
    <w:rsid w:val="00D71220"/>
    <w:rsid w:val="00D81F53"/>
    <w:rsid w:val="00DF50B2"/>
    <w:rsid w:val="00E25917"/>
    <w:rsid w:val="00E408B0"/>
    <w:rsid w:val="00E50414"/>
    <w:rsid w:val="00E91DB3"/>
    <w:rsid w:val="00EA417B"/>
    <w:rsid w:val="00EA51EE"/>
    <w:rsid w:val="00EC20F5"/>
    <w:rsid w:val="00F142AE"/>
    <w:rsid w:val="00F2687D"/>
    <w:rsid w:val="00F400D3"/>
    <w:rsid w:val="00F67C38"/>
    <w:rsid w:val="00F9109E"/>
    <w:rsid w:val="00FB71C5"/>
    <w:rsid w:val="00FC7CBD"/>
    <w:rsid w:val="04673ED4"/>
    <w:rsid w:val="0E02F5E1"/>
    <w:rsid w:val="1541D40D"/>
    <w:rsid w:val="293B004F"/>
    <w:rsid w:val="2B913C9D"/>
    <w:rsid w:val="2E14BACF"/>
    <w:rsid w:val="3455A247"/>
    <w:rsid w:val="3CF86C32"/>
    <w:rsid w:val="466E1230"/>
    <w:rsid w:val="536E5EC8"/>
    <w:rsid w:val="59ADFFC2"/>
    <w:rsid w:val="59F0BBC5"/>
    <w:rsid w:val="662E9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A1F81"/>
  <w15:chartTrackingRefBased/>
  <w15:docId w15:val="{384E6C17-8175-4C34-8ECB-F1269183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17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1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EA41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7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7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7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7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A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7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7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7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7B"/>
    <w:rPr>
      <w:b/>
      <w:bCs/>
      <w:smallCaps/>
      <w:color w:val="0F4761" w:themeColor="accent1" w:themeShade="BF"/>
      <w:spacing w:val="5"/>
    </w:rPr>
  </w:style>
  <w:style w:type="paragraph" w:customStyle="1" w:styleId="WescorDocSubHeading">
    <w:name w:val="WescorDocSubHeading"/>
    <w:basedOn w:val="Header"/>
    <w:rsid w:val="00EA417B"/>
    <w:pPr>
      <w:tabs>
        <w:tab w:val="clear" w:pos="4680"/>
        <w:tab w:val="clear" w:pos="9360"/>
      </w:tabs>
    </w:pPr>
    <w:rPr>
      <w:rFonts w:asciiTheme="majorHAnsi" w:eastAsia="Times New Roman" w:hAnsiTheme="majorHAnsi" w:cs="Times New Roman"/>
      <w:b/>
      <w:szCs w:val="20"/>
    </w:rPr>
  </w:style>
  <w:style w:type="paragraph" w:customStyle="1" w:styleId="ManualSectionXxTitle">
    <w:name w:val="Manual Section X.x Title"/>
    <w:basedOn w:val="Normal"/>
    <w:qFormat/>
    <w:rsid w:val="00EA417B"/>
    <w:rPr>
      <w:rFonts w:asciiTheme="majorHAnsi" w:hAnsiTheme="majorHAnsi"/>
      <w:b/>
      <w:i/>
      <w:sz w:val="28"/>
    </w:rPr>
  </w:style>
  <w:style w:type="paragraph" w:customStyle="1" w:styleId="MainSubHeading">
    <w:name w:val="Main Sub Heading"/>
    <w:basedOn w:val="WescorDocSubHeading"/>
    <w:next w:val="NormalIndent"/>
    <w:qFormat/>
    <w:rsid w:val="00EA417B"/>
    <w:pPr>
      <w:ind w:left="720"/>
    </w:pPr>
  </w:style>
  <w:style w:type="paragraph" w:customStyle="1" w:styleId="ManualSectionHead">
    <w:name w:val="Manual Section Head"/>
    <w:basedOn w:val="Heading1"/>
    <w:next w:val="Heading2"/>
    <w:qFormat/>
    <w:rsid w:val="00EA417B"/>
    <w:pPr>
      <w:keepNext w:val="0"/>
      <w:keepLines w:val="0"/>
      <w:spacing w:before="0" w:after="0" w:line="240" w:lineRule="auto"/>
    </w:pPr>
    <w:rPr>
      <w:rFonts w:eastAsiaTheme="minorHAnsi" w:cstheme="minorBidi"/>
      <w:color w:val="auto"/>
      <w:kern w:val="0"/>
      <w:sz w:val="28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4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7B"/>
    <w:rPr>
      <w:kern w:val="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EA417B"/>
    <w:pPr>
      <w:ind w:left="720"/>
    </w:pPr>
  </w:style>
  <w:style w:type="table" w:styleId="TableGrid">
    <w:name w:val="Table Grid"/>
    <w:basedOn w:val="TableNormal"/>
    <w:uiPriority w:val="39"/>
    <w:rsid w:val="00EA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6C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1D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D55416FB56489ACE374DC1ED6BFF" ma:contentTypeVersion="14" ma:contentTypeDescription="Create a new document." ma:contentTypeScope="" ma:versionID="9253ae39d0078e9024c9e815171a3ebc">
  <xsd:schema xmlns:xsd="http://www.w3.org/2001/XMLSchema" xmlns:xs="http://www.w3.org/2001/XMLSchema" xmlns:p="http://schemas.microsoft.com/office/2006/metadata/properties" xmlns:ns2="d97b52b9-61e0-4122-9069-a46865b624c1" targetNamespace="http://schemas.microsoft.com/office/2006/metadata/properties" ma:root="true" ma:fieldsID="7deaf76639ef8b00d2c0cd29a9157758" ns2:_="">
    <xsd:import namespace="d97b52b9-61e0-4122-9069-a46865b62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b52b9-61e0-4122-9069-a46865b62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E259E-A5A2-4861-B54A-4007E5DFA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b52b9-61e0-4122-9069-a46865b62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8442F-8FA2-4F8F-9969-578F783E111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97b52b9-61e0-4122-9069-a46865b624c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911041-9791-491A-AC10-4890BBE42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Heywood, John</dc:creator>
  <cp:keywords/>
  <dc:description/>
  <cp:lastModifiedBy>Levi, Joe</cp:lastModifiedBy>
  <cp:revision>2</cp:revision>
  <cp:lastPrinted>2025-09-05T19:47:00Z</cp:lastPrinted>
  <dcterms:created xsi:type="dcterms:W3CDTF">2026-04-17T20:20:00Z</dcterms:created>
  <dcterms:modified xsi:type="dcterms:W3CDTF">2026-04-17T20:20:00Z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418fbb39,160b2039,69984c1d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-ELITechGroup Confidential-</vt:lpwstr>
  </property>
  <property fmtid="{D5CDD505-2E9C-101B-9397-08002B2CF9AE}" pid="5" name="MSIP_Label_9e54d220-4f89-4c4c-8767-654a506cd138_Enabled">
    <vt:lpwstr>true</vt:lpwstr>
  </property>
  <property fmtid="{D5CDD505-2E9C-101B-9397-08002B2CF9AE}" pid="6" name="MSIP_Label_9e54d220-4f89-4c4c-8767-654a506cd138_SetDate">
    <vt:lpwstr>2025-09-04T18:53:44Z</vt:lpwstr>
  </property>
  <property fmtid="{D5CDD505-2E9C-101B-9397-08002B2CF9AE}" pid="7" name="MSIP_Label_9e54d220-4f89-4c4c-8767-654a506cd138_Method">
    <vt:lpwstr>Standard</vt:lpwstr>
  </property>
  <property fmtid="{D5CDD505-2E9C-101B-9397-08002B2CF9AE}" pid="8" name="MSIP_Label_9e54d220-4f89-4c4c-8767-654a506cd138_Name">
    <vt:lpwstr>Elitech Group Confidential</vt:lpwstr>
  </property>
  <property fmtid="{D5CDD505-2E9C-101B-9397-08002B2CF9AE}" pid="9" name="MSIP_Label_9e54d220-4f89-4c4c-8767-654a506cd138_SiteId">
    <vt:lpwstr>375ce1b8-8db1-479b-a12c-06fa9d2a2eaf</vt:lpwstr>
  </property>
  <property fmtid="{D5CDD505-2E9C-101B-9397-08002B2CF9AE}" pid="10" name="MSIP_Label_9e54d220-4f89-4c4c-8767-654a506cd138_ActionId">
    <vt:lpwstr>311f4f7f-f7e7-4c22-b46d-57286b4e7220</vt:lpwstr>
  </property>
  <property fmtid="{D5CDD505-2E9C-101B-9397-08002B2CF9AE}" pid="11" name="MSIP_Label_9e54d220-4f89-4c4c-8767-654a506cd138_ContentBits">
    <vt:lpwstr>2</vt:lpwstr>
  </property>
  <property fmtid="{D5CDD505-2E9C-101B-9397-08002B2CF9AE}" pid="12" name="MSIP_Label_9e54d220-4f89-4c4c-8767-654a506cd138_Tag">
    <vt:lpwstr>50, 3, 0, 1</vt:lpwstr>
  </property>
  <property fmtid="{D5CDD505-2E9C-101B-9397-08002B2CF9AE}" pid="13" name="ContentTypeId">
    <vt:lpwstr>0x0101007B75D55416FB56489ACE374DC1ED6BFF</vt:lpwstr>
  </property>
  <property fmtid="{D5CDD505-2E9C-101B-9397-08002B2CF9AE}" pid="14" name="docLang">
    <vt:lpwstr>en</vt:lpwstr>
  </property>
</Properties>
</file>